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6220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4725E3D2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《白山市2021年土地征收成片开发方案调整方案》（草案）</w:t>
      </w:r>
    </w:p>
    <w:p w14:paraId="763CA1CD">
      <w:pPr>
        <w:pStyle w:val="2"/>
        <w:rPr>
          <w:rFonts w:hint="eastAsia"/>
          <w:lang w:val="en-US" w:eastAsia="zh-CN"/>
        </w:rPr>
      </w:pPr>
    </w:p>
    <w:p w14:paraId="165FE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一、编制原因</w:t>
      </w:r>
    </w:p>
    <w:p w14:paraId="374FF783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由于白山市国民经济和社会发展年度计划调整、企业投资战略变化等原因，《白山市2021年土地征收成片开发方案》（以下简称《开发方案》）未能实现预期征地，为了更加合理有序征地供地、合理布局区域建设，进一步提高土地利用效率，推动白山市经济高质量发展，根据《吉林省自然资源厅关于印发〈吉林省土地征收成片开发方案编制报批细则〉的通知》（吉自然资办发〔2024〕313号）第十三条规定，土地征收成片开发方案经批准后，应当严格按照方案确定的范围、时序安排组织实施。因国民经济和社会发展年度计划、国土空间规划衔接问题或者不可抗力等因素导致无法实施的，可按规定调整土地征收成片开发方案。为更好地保障土地征收实施计划的顺利实施，白山市人民政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重新编制了《白山市2021年土地征收成片开发方案调整方案》（以下简称《调整方案》）。</w:t>
      </w:r>
    </w:p>
    <w:p w14:paraId="18C822D0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调整方案》结合白山市土地征收情况和社会经济发展实际需求，统筹安排成片开发区域，对暂时不能实施土地征收的片区整体调出，对项目用地规模发生变化的片区进行局部调整。原《开发方案》范围总面积为41.9698公顷，征收土地面积为31.9265公顷，涉及白山市浑江区4个乡镇6个村，现《调整方案》范围总面积为34.7545公顷，征收土地面积为19.8555公顷，涉及白山市浑江区六道江镇湖下村和河口街道河口村。</w:t>
      </w:r>
    </w:p>
    <w:p w14:paraId="47BC05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</w:pPr>
      <w:bookmarkStart w:id="0" w:name="_Toc3069"/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二.《调整方案》总体情况</w:t>
      </w:r>
      <w:bookmarkEnd w:id="0"/>
    </w:p>
    <w:p w14:paraId="6600933F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调整共有两类调整情形，一是整体调出片区，即将《开发方案》中暂不实施的项目整体调出，涉及片区2、片区4、片区5、片区6、片区7、片区8，共6个片区整体调出；二是局部调整，为成片开发范围有修改的项目，涉及原《开发方案》的片区1和片区3。</w:t>
      </w:r>
    </w:p>
    <w:p w14:paraId="3BAD4EDD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《调整方案》中农用地面积为0.7745公顷，其中耕地0.4290公顷；建设用地面积为33.3618公顷；未利用地面积为0.6182公顷。</w:t>
      </w:r>
    </w:p>
    <w:p w14:paraId="060B2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1" w:name="_Toc31963"/>
      <w:bookmarkStart w:id="2" w:name="_Toc7711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1.片区1（成片开发范围有修改）</w:t>
      </w:r>
      <w:bookmarkEnd w:id="1"/>
      <w:bookmarkEnd w:id="2"/>
    </w:p>
    <w:p w14:paraId="061893F8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片区1（医药高新起步区项目）位于六道江镇湖下村，白山市医药起步区园区内，原片区成片开发范围总面积21.5052公顷，修改后成片开发范围面积为29.4509公顷，主要涉及六道江镇湖下村，征收土地面积16.7405公顷。</w:t>
      </w:r>
    </w:p>
    <w:p w14:paraId="7537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3" w:name="_Toc12387"/>
      <w:bookmarkStart w:id="4" w:name="_Toc29168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2.片区2（已删除）</w:t>
      </w:r>
      <w:bookmarkEnd w:id="3"/>
      <w:bookmarkEnd w:id="4"/>
    </w:p>
    <w:p w14:paraId="311CFD56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片区2（澳盛冷库二期项目），位于七道江镇民华村，成片开发范围面积2.7534公顷，全部调出，调出原因为产业调整。</w:t>
      </w:r>
    </w:p>
    <w:p w14:paraId="5E16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5" w:name="_Toc29331"/>
      <w:bookmarkStart w:id="6" w:name="_Toc7856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3.片区3（成片开发范围有修改）</w:t>
      </w:r>
      <w:bookmarkEnd w:id="5"/>
      <w:bookmarkEnd w:id="6"/>
    </w:p>
    <w:p w14:paraId="0C7C8019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片区3（大众4S店及移动公司项目），位于浑江区河口街道河口村，原片区成片开发范围总面积4.1960公顷，修改后成片开发范围面积为5.3036公顷，征收土地面积3.1150公顷，该片区土地征收主要涉及河口街道河口村。</w:t>
      </w:r>
    </w:p>
    <w:p w14:paraId="0DE13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7" w:name="_Toc18921"/>
      <w:bookmarkStart w:id="8" w:name="_Toc2537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4.片区4（已删除）</w:t>
      </w:r>
      <w:bookmarkEnd w:id="7"/>
      <w:bookmarkEnd w:id="8"/>
    </w:p>
    <w:p w14:paraId="5D1D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片区4（龙山湖旅游基础设施项目），位于浑江区三道沟镇滴台村，成片开发范围面积0.7770公顷，全部调出，调出原因为产业调整。</w:t>
      </w:r>
    </w:p>
    <w:p w14:paraId="6451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9" w:name="_Toc15887"/>
      <w:bookmarkStart w:id="10" w:name="_Toc12867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5.片区5（已删除）</w:t>
      </w:r>
      <w:bookmarkEnd w:id="9"/>
      <w:bookmarkEnd w:id="10"/>
    </w:p>
    <w:p w14:paraId="674B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片区5（龙山湖旅游基础设施项目）位于浑江区三道沟镇滴台村，成片开发范围面积0.2842公顷，全部调出，调出原因为产业调整。</w:t>
      </w:r>
    </w:p>
    <w:p w14:paraId="584D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11" w:name="_Toc4377"/>
      <w:bookmarkStart w:id="12" w:name="_Toc2296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6.片区6（已删除）</w:t>
      </w:r>
      <w:bookmarkEnd w:id="11"/>
      <w:bookmarkEnd w:id="12"/>
    </w:p>
    <w:p w14:paraId="44E0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片区6（大山合项目）位于浑江区七道江镇民华村，在大山合南侧，成片开发范围面积0.0796公顷，全部调出，调出原因为产业调整。</w:t>
      </w:r>
    </w:p>
    <w:p w14:paraId="1D00D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13" w:name="_Toc29656"/>
      <w:bookmarkStart w:id="14" w:name="_Toc26627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7.片区7（已删除）</w:t>
      </w:r>
      <w:bookmarkEnd w:id="13"/>
      <w:bookmarkEnd w:id="14"/>
    </w:p>
    <w:p w14:paraId="5B9151A9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片区7（伟晔燃气项目），位于浑江区七道江镇团结村，在库仓沟内部，成片开发范围面积1.3349公顷，全部调出，调出原因为产业调整。</w:t>
      </w:r>
    </w:p>
    <w:p w14:paraId="3E40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15" w:name="_Toc14599"/>
      <w:bookmarkStart w:id="16" w:name="_Toc15641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8.片区8（已删除）</w:t>
      </w:r>
      <w:bookmarkEnd w:id="15"/>
      <w:bookmarkEnd w:id="16"/>
    </w:p>
    <w:p w14:paraId="37FF7F76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片区8（七道江棚改万和家园项目）位于浑江区七道江镇七道江村，成片开发范围面积11.0394公顷，全部调出，调出原因为产业调整。</w:t>
      </w:r>
    </w:p>
    <w:p w14:paraId="5E5DEA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</w:pPr>
      <w:bookmarkStart w:id="17" w:name="_Toc31282"/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三.调整方案公益性用地比例</w:t>
      </w:r>
      <w:bookmarkEnd w:id="17"/>
    </w:p>
    <w:p w14:paraId="0773A15A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《调整方案》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范围内交通设施用地属于公益性用地，各区片公益性占比详见下表，符合《自然资源部关于印发〈土地征收成片开发标准〉的通知》（自然资规〔2023〕7号）公益性用地占比要求。</w:t>
      </w:r>
    </w:p>
    <w:p w14:paraId="38EBD3A6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表4-7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调整方案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公益性用地比例情况表</w:t>
      </w:r>
    </w:p>
    <w:p w14:paraId="6464C498">
      <w:pPr>
        <w:pStyle w:val="2"/>
        <w:jc w:val="right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lang w:val="en-US" w:eastAsia="zh-CN" w:bidi="ar-SA"/>
        </w:rPr>
        <w:t>单位：公顷</w:t>
      </w:r>
    </w:p>
    <w:tbl>
      <w:tblPr>
        <w:tblStyle w:val="6"/>
        <w:tblpPr w:leftFromText="180" w:rightFromText="180" w:vertAnchor="text" w:horzAnchor="page" w:tblpX="1397" w:tblpY="257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915"/>
        <w:gridCol w:w="1927"/>
        <w:gridCol w:w="1789"/>
        <w:gridCol w:w="1770"/>
      </w:tblGrid>
      <w:tr w14:paraId="146F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654" w:type="pct"/>
            <w:vAlign w:val="center"/>
          </w:tcPr>
          <w:p w14:paraId="1866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区片编号</w:t>
            </w:r>
          </w:p>
        </w:tc>
        <w:tc>
          <w:tcPr>
            <w:tcW w:w="1124" w:type="pct"/>
            <w:vAlign w:val="center"/>
          </w:tcPr>
          <w:p w14:paraId="067A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经营性用地</w:t>
            </w:r>
          </w:p>
        </w:tc>
        <w:tc>
          <w:tcPr>
            <w:tcW w:w="1131" w:type="pct"/>
            <w:vAlign w:val="center"/>
          </w:tcPr>
          <w:p w14:paraId="6E05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公益性用地</w:t>
            </w:r>
          </w:p>
        </w:tc>
        <w:tc>
          <w:tcPr>
            <w:tcW w:w="1050" w:type="pct"/>
            <w:vAlign w:val="center"/>
          </w:tcPr>
          <w:p w14:paraId="18F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成片开发面积</w:t>
            </w:r>
          </w:p>
        </w:tc>
        <w:tc>
          <w:tcPr>
            <w:tcW w:w="1038" w:type="pct"/>
            <w:vAlign w:val="center"/>
          </w:tcPr>
          <w:p w14:paraId="2431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公益性用地比例</w:t>
            </w:r>
          </w:p>
        </w:tc>
      </w:tr>
      <w:tr w14:paraId="52A0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4" w:type="pct"/>
            <w:vAlign w:val="center"/>
          </w:tcPr>
          <w:p w14:paraId="686B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片区1</w:t>
            </w:r>
          </w:p>
        </w:tc>
        <w:tc>
          <w:tcPr>
            <w:tcW w:w="2087" w:type="dxa"/>
            <w:vAlign w:val="center"/>
          </w:tcPr>
          <w:p w14:paraId="6B73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16.7405</w:t>
            </w:r>
          </w:p>
        </w:tc>
        <w:tc>
          <w:tcPr>
            <w:tcW w:w="2100" w:type="dxa"/>
            <w:vAlign w:val="center"/>
          </w:tcPr>
          <w:p w14:paraId="43A4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12.7104</w:t>
            </w:r>
          </w:p>
        </w:tc>
        <w:tc>
          <w:tcPr>
            <w:tcW w:w="1950" w:type="dxa"/>
            <w:vAlign w:val="center"/>
          </w:tcPr>
          <w:p w14:paraId="26BC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29.4509</w:t>
            </w:r>
          </w:p>
        </w:tc>
        <w:tc>
          <w:tcPr>
            <w:tcW w:w="1928" w:type="dxa"/>
            <w:vAlign w:val="center"/>
          </w:tcPr>
          <w:p w14:paraId="45EA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43.16%</w:t>
            </w:r>
          </w:p>
        </w:tc>
      </w:tr>
      <w:tr w14:paraId="1FC8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4" w:type="pct"/>
            <w:vAlign w:val="center"/>
          </w:tcPr>
          <w:p w14:paraId="4FCF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片区3</w:t>
            </w:r>
          </w:p>
        </w:tc>
        <w:tc>
          <w:tcPr>
            <w:tcW w:w="2087" w:type="dxa"/>
            <w:vAlign w:val="center"/>
          </w:tcPr>
          <w:p w14:paraId="5986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3.115</w:t>
            </w:r>
          </w:p>
        </w:tc>
        <w:tc>
          <w:tcPr>
            <w:tcW w:w="2100" w:type="dxa"/>
            <w:vAlign w:val="center"/>
          </w:tcPr>
          <w:p w14:paraId="41F9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2.1886</w:t>
            </w:r>
          </w:p>
        </w:tc>
        <w:tc>
          <w:tcPr>
            <w:tcW w:w="1950" w:type="dxa"/>
            <w:vAlign w:val="center"/>
          </w:tcPr>
          <w:p w14:paraId="5F22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5.3036</w:t>
            </w:r>
          </w:p>
        </w:tc>
        <w:tc>
          <w:tcPr>
            <w:tcW w:w="1928" w:type="dxa"/>
            <w:vAlign w:val="center"/>
          </w:tcPr>
          <w:p w14:paraId="7D41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41.27%</w:t>
            </w:r>
          </w:p>
        </w:tc>
      </w:tr>
      <w:tr w14:paraId="2C71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4" w:type="pct"/>
            <w:vAlign w:val="center"/>
          </w:tcPr>
          <w:p w14:paraId="1B39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2087" w:type="dxa"/>
            <w:vAlign w:val="center"/>
          </w:tcPr>
          <w:p w14:paraId="0F70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19.8555</w:t>
            </w:r>
          </w:p>
        </w:tc>
        <w:tc>
          <w:tcPr>
            <w:tcW w:w="2100" w:type="dxa"/>
            <w:vAlign w:val="center"/>
          </w:tcPr>
          <w:p w14:paraId="1A68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14.899</w:t>
            </w:r>
          </w:p>
        </w:tc>
        <w:tc>
          <w:tcPr>
            <w:tcW w:w="1050" w:type="pct"/>
            <w:vAlign w:val="center"/>
          </w:tcPr>
          <w:p w14:paraId="4204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34.7545</w:t>
            </w:r>
          </w:p>
        </w:tc>
        <w:tc>
          <w:tcPr>
            <w:tcW w:w="1038" w:type="pct"/>
            <w:vAlign w:val="center"/>
          </w:tcPr>
          <w:p w14:paraId="2750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42.87%</w:t>
            </w:r>
          </w:p>
        </w:tc>
      </w:tr>
    </w:tbl>
    <w:p w14:paraId="1845A9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四.规划符合情况</w:t>
      </w:r>
    </w:p>
    <w:p w14:paraId="071EDD89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本方案符合白山市国民经济和社会发展规划的发展定位、要求，有利于完成规划目标、任务。成片开发范围布局在城镇开发边界的集中建设区，符合报批的城镇开发边界。成片开发区域范围不涉及永久基本农田、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生态保护红线、各类保护区，符合成片开发项目送审报批的要求。</w:t>
      </w:r>
    </w:p>
    <w:p w14:paraId="48955A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</w:pPr>
      <w:bookmarkStart w:id="18" w:name="_GoBack"/>
      <w:bookmarkEnd w:id="18"/>
      <w:r>
        <w:rPr>
          <w:rFonts w:hint="eastAsia" w:ascii="仿宋" w:hAnsi="仿宋" w:cs="仿宋"/>
          <w:b/>
          <w:bCs w:val="0"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、结论</w:t>
      </w:r>
    </w:p>
    <w:p w14:paraId="39C02A6F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《白山市2021年土地征收成片开发方案调整方案》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符合自然资源部及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吉林省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人民政府关于土地征收“成片开发”的标准。</w:t>
      </w:r>
    </w:p>
    <w:p w14:paraId="347C392A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2292"/>
    <w:rsid w:val="0CB24E3F"/>
    <w:rsid w:val="1B351FAC"/>
    <w:rsid w:val="32B30EC3"/>
    <w:rsid w:val="40C2236E"/>
    <w:rsid w:val="483D5887"/>
    <w:rsid w:val="55933A14"/>
    <w:rsid w:val="56975C4B"/>
    <w:rsid w:val="6F2B625A"/>
    <w:rsid w:val="75E545EB"/>
    <w:rsid w:val="796A6D5A"/>
    <w:rsid w:val="7AFA3202"/>
    <w:rsid w:val="7DA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after="100" w:afterAutospacing="1" w:line="360" w:lineRule="auto"/>
      <w:jc w:val="center"/>
      <w:outlineLvl w:val="0"/>
    </w:pPr>
    <w:rPr>
      <w:rFonts w:ascii="微软雅黑" w:hAnsi="微软雅黑" w:eastAsia="仿宋"/>
      <w:bCs/>
      <w:sz w:val="32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Lines="50" w:after="200" w:afterLines="50" w:line="600" w:lineRule="exact"/>
      <w:jc w:val="center"/>
      <w:outlineLvl w:val="1"/>
    </w:pPr>
    <w:rPr>
      <w:rFonts w:ascii="Arial" w:hAnsi="Arial" w:eastAsia="黑体" w:cs="Times New Roman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1690</Words>
  <Characters>1894</Characters>
  <Lines>0</Lines>
  <Paragraphs>0</Paragraphs>
  <TotalTime>3</TotalTime>
  <ScaleCrop>false</ScaleCrop>
  <LinksUpToDate>false</LinksUpToDate>
  <CharactersWithSpaces>1894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2024-11-07T01:29:00Z</dcterms:created>
  <dc:creator>Administrator</dc:creator>
  <cp:lastModifiedBy>YTjie.</cp:lastModifiedBy>
  <dcterms:modified xsi:type="dcterms:W3CDTF">2026-01-22T00:56:12Z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eyJoZGlkIjoiMzZkMTJhNDM4Zjk3Y2MwYTQ1YTkwNTllNzNkMTBkODkiLCJ1c2VySWQiOiI0MDY0MzU4ODAifQ==</vt:lpwstr>
  </property>
  <property fmtid="{D5CDD505-2E9C-101B-9397-08002B2CF9AE}" pid="4" name="ICV">
    <vt:lpwstr>D2EACEED33614665A041AC73C7B123BC_12</vt:lpwstr>
  </property>
</Properties>
</file>